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6BAF" w:rsidRDefault="00FF005A" w:rsidP="006A1F56">
      <w:r>
        <w:t xml:space="preserve">„…Banki ingatlanok… 17000 hirdetés…” mutatja a keresőmotor. </w:t>
      </w:r>
      <w:r w:rsidR="00411069" w:rsidRPr="00411069">
        <w:t>Álmaink otthonára rátalálni nem könnyű – ám megeshet, hogy az általunk vágyo</w:t>
      </w:r>
      <w:r w:rsidR="00411069">
        <w:t>tt ingatlan valamilyen</w:t>
      </w:r>
      <w:r w:rsidR="00411069">
        <w:t xml:space="preserve"> </w:t>
      </w:r>
      <w:r w:rsidR="009438F3">
        <w:t xml:space="preserve">korlátolt </w:t>
      </w:r>
      <w:r w:rsidR="00411069">
        <w:t xml:space="preserve">dologi joggal </w:t>
      </w:r>
      <w:r>
        <w:t>(</w:t>
      </w:r>
      <w:r w:rsidR="00411069">
        <w:t>banki jelzáloggal, vagy esetleg</w:t>
      </w:r>
      <w:r w:rsidR="00411069">
        <w:t xml:space="preserve"> </w:t>
      </w:r>
      <w:r w:rsidR="00411069">
        <w:t>haszonélvezettel</w:t>
      </w:r>
      <w:r>
        <w:t>)</w:t>
      </w:r>
      <w:r w:rsidR="00411069">
        <w:t xml:space="preserve"> </w:t>
      </w:r>
      <w:r w:rsidR="00411069" w:rsidRPr="00411069">
        <w:t>terhelt.</w:t>
      </w:r>
      <w:r w:rsidR="00BE6576">
        <w:t xml:space="preserve"> Ilyen esetben több kérdés is felmerülhet? Van-e akadálya a terhelt ingatlan megvásárlásának? Kinek milyen jogi lépéseket kell megtenni</w:t>
      </w:r>
      <w:r w:rsidR="00BE6576" w:rsidRPr="00BE6576">
        <w:t xml:space="preserve"> </w:t>
      </w:r>
      <w:r w:rsidR="00BE6576">
        <w:t>a megvásárláshoz</w:t>
      </w:r>
      <w:r w:rsidR="00BE6576" w:rsidRPr="00BE6576">
        <w:t>?</w:t>
      </w:r>
      <w:r w:rsidR="00BE6576">
        <w:t xml:space="preserve"> </w:t>
      </w:r>
      <w:r w:rsidR="00BE6576" w:rsidRPr="00BE6576">
        <w:t>Van-e</w:t>
      </w:r>
      <w:r w:rsidR="00BE6576">
        <w:t xml:space="preserve"> akadálya annak, hogy a banki jelzáloggal</w:t>
      </w:r>
      <w:r w:rsidR="00BE6576" w:rsidRPr="00BE6576">
        <w:t xml:space="preserve"> terhelt ingatlant banki hitel igénybevételével vásárolja meg a vevő?</w:t>
      </w:r>
      <w:r w:rsidR="00BE6576">
        <w:t xml:space="preserve"> Megváltható vagy legalább korlátozható-e a lakást terhelő haszonélvezeti jog? </w:t>
      </w:r>
      <w:r>
        <w:t xml:space="preserve">Érdemes-e ilyen ingatlannal kereskedni? </w:t>
      </w:r>
      <w:r w:rsidR="00BE6576">
        <w:t>Milyen módon történjen az ilyen és ehhez hasonló</w:t>
      </w:r>
      <w:r>
        <w:t xml:space="preserve"> jogi kockázatok</w:t>
      </w:r>
      <w:r w:rsidR="00BE6576">
        <w:t xml:space="preserve"> árazása?</w:t>
      </w:r>
      <w:r>
        <w:t xml:space="preserve"> Kinek és mit kell szavatolnia </w:t>
      </w:r>
      <w:r w:rsidR="00BC6BAF">
        <w:t>az ilyen</w:t>
      </w:r>
      <w:r>
        <w:t xml:space="preserve"> vagyontárgyak </w:t>
      </w:r>
      <w:r w:rsidR="009438F3">
        <w:t>közvetítésekor?</w:t>
      </w:r>
    </w:p>
    <w:p w:rsidR="00BC6BAF" w:rsidRDefault="00FF005A" w:rsidP="006A1F56">
      <w:r>
        <w:t xml:space="preserve">E kérdések, és a mögöttük álló érdekkörök </w:t>
      </w:r>
      <w:r w:rsidR="002B1910">
        <w:t>legtöbbje</w:t>
      </w:r>
      <w:r w:rsidR="00BC6BAF">
        <w:t xml:space="preserve"> a dologi jogi intézmények </w:t>
      </w:r>
      <w:proofErr w:type="gramStart"/>
      <w:r w:rsidR="00BC6BAF">
        <w:t>komplex</w:t>
      </w:r>
      <w:proofErr w:type="gramEnd"/>
      <w:r w:rsidR="0098534C">
        <w:t xml:space="preserve"> világába kalauzolnak minket</w:t>
      </w:r>
      <w:r w:rsidR="00BC6BAF">
        <w:t>, és</w:t>
      </w:r>
      <w:r>
        <w:t xml:space="preserve"> nyilvánvalóvá teszik: v</w:t>
      </w:r>
      <w:r w:rsidR="00A54CC0">
        <w:t>agyoni viszonyaink rendezettsége szempontjából</w:t>
      </w:r>
      <w:r w:rsidR="00D3647B">
        <w:t xml:space="preserve"> kulcsfontosságú</w:t>
      </w:r>
      <w:r w:rsidR="00095586">
        <w:t xml:space="preserve"> d</w:t>
      </w:r>
      <w:r w:rsidR="00095586">
        <w:t>olgaink érdekállásának kiszámítható, szabályozott volta</w:t>
      </w:r>
      <w:r w:rsidR="00D66340">
        <w:t xml:space="preserve">. </w:t>
      </w:r>
    </w:p>
    <w:p w:rsidR="0098534C" w:rsidRDefault="00060426" w:rsidP="006A1F56">
      <w:r>
        <w:t>A Polgári Törvénykönyv Ötödik Könyve ezért részletesen szabályozza a dologi jog</w:t>
      </w:r>
      <w:r w:rsidR="009E0089">
        <w:t>i</w:t>
      </w:r>
      <w:r>
        <w:t xml:space="preserve"> kapcsolatokat. </w:t>
      </w:r>
      <w:r w:rsidR="0028491B">
        <w:t>Az elnevezés némiképp félrevezető, hiszen a dologi jogviszonyok</w:t>
      </w:r>
      <w:r w:rsidR="006A1F56">
        <w:t xml:space="preserve"> nem a személy és valamely dol</w:t>
      </w:r>
      <w:r w:rsidR="00EF2354">
        <w:t>og egymáshoz való viszonyát írják</w:t>
      </w:r>
      <w:r w:rsidR="006A1F56">
        <w:t xml:space="preserve"> le, hanem a polgári jogi jogalanyok egymással szembeni polgári jogi jogait és kötelezettségeit </w:t>
      </w:r>
      <w:r w:rsidR="0098534C">
        <w:t xml:space="preserve">– </w:t>
      </w:r>
      <w:proofErr w:type="gramStart"/>
      <w:r w:rsidR="0098534C">
        <w:t>potenciális</w:t>
      </w:r>
      <w:proofErr w:type="gramEnd"/>
      <w:r w:rsidR="0098534C">
        <w:t xml:space="preserve"> követeléseit – </w:t>
      </w:r>
      <w:r w:rsidR="006A1F56">
        <w:t>jelenti</w:t>
      </w:r>
      <w:r w:rsidR="00EF2354">
        <w:t>k,</w:t>
      </w:r>
      <w:r w:rsidR="00411069">
        <w:t xml:space="preserve"> valamely dologra, vagy vagyonértékű javakra </w:t>
      </w:r>
      <w:r w:rsidR="006A1F56">
        <w:t>tekintettel.</w:t>
      </w:r>
    </w:p>
    <w:p w:rsidR="006A1F56" w:rsidRDefault="006A1F56" w:rsidP="006A1F56">
      <w:r>
        <w:t xml:space="preserve">A dologi jogi szabályozás jogintézményei elsősorban azt a célt szolgálják, hogy a dolgokkal összefüggő jogviszonyok jogosultjai (pl. a tulajdonos, vagy egy útszolgalom jogosultja, vagy egy lakás használója) </w:t>
      </w:r>
      <w:r w:rsidR="00095586">
        <w:t xml:space="preserve">– </w:t>
      </w:r>
      <w:r>
        <w:t>jogi és</w:t>
      </w:r>
      <w:r w:rsidR="00B26D9E">
        <w:t>/vagy</w:t>
      </w:r>
      <w:r>
        <w:t xml:space="preserve"> ténybeli helyzetükben </w:t>
      </w:r>
      <w:r w:rsidR="00095586">
        <w:t xml:space="preserve">– </w:t>
      </w:r>
      <w:r>
        <w:t>védve legyenek más sz</w:t>
      </w:r>
      <w:r w:rsidR="002C7C9F">
        <w:t>emélyeknek a dolgaikra irányuló magatartásaitól, igényeitől, illetve, hogy</w:t>
      </w:r>
      <w:r w:rsidR="00095586">
        <w:t xml:space="preserve"> a dologi jogoknak a törvény által elismert érdekállása legyen</w:t>
      </w:r>
      <w:r>
        <w:t xml:space="preserve">. A dologi jogi szabályozás </w:t>
      </w:r>
      <w:proofErr w:type="gramStart"/>
      <w:r>
        <w:t>ezen</w:t>
      </w:r>
      <w:proofErr w:type="gramEnd"/>
      <w:r>
        <w:t xml:space="preserve"> jellemzőjét nevezzük a dologi jog statikájának</w:t>
      </w:r>
      <w:r w:rsidR="00411069">
        <w:t>, és hívjuk a dologi jogot a vagyoni berendezkedés jogának</w:t>
      </w:r>
      <w:r w:rsidR="0098534C">
        <w:t xml:space="preserve"> is</w:t>
      </w:r>
      <w:r>
        <w:t xml:space="preserve">. </w:t>
      </w:r>
    </w:p>
    <w:p w:rsidR="00FF005A" w:rsidRDefault="00FF005A" w:rsidP="006A1F56">
      <w:r>
        <w:t xml:space="preserve">Nem áthidalhatatlan </w:t>
      </w:r>
      <w:proofErr w:type="gramStart"/>
      <w:r>
        <w:t>probléma</w:t>
      </w:r>
      <w:proofErr w:type="gramEnd"/>
      <w:r>
        <w:t xml:space="preserve"> tehát</w:t>
      </w:r>
      <w:r w:rsidR="0028491B">
        <w:t xml:space="preserve"> a – </w:t>
      </w:r>
      <w:r w:rsidR="009438F3">
        <w:t>példánkban szereplő –</w:t>
      </w:r>
      <w:r>
        <w:t xml:space="preserve"> nem tehermentes vagyontárgyak kereskedelme, megsz</w:t>
      </w:r>
      <w:r w:rsidR="00E3503C">
        <w:t>erzése. A</w:t>
      </w:r>
      <w:r>
        <w:t>z azonban köztudomású, hogy az e szegmensben érdekelt kereskedők és befektető</w:t>
      </w:r>
      <w:r w:rsidR="00BC6BAF">
        <w:t>k az átlagosnál</w:t>
      </w:r>
      <w:r>
        <w:t xml:space="preserve"> nagyobb szakértelemmel</w:t>
      </w:r>
      <w:r w:rsidR="0098534C">
        <w:t xml:space="preserve"> kell, hogy rendelkezzenek</w:t>
      </w:r>
      <w:r w:rsidR="00BC6BAF">
        <w:t xml:space="preserve">, </w:t>
      </w:r>
      <w:r>
        <w:t>a dologi jogi</w:t>
      </w:r>
      <w:r w:rsidR="0098534C">
        <w:t xml:space="preserve"> jogintézmények </w:t>
      </w:r>
      <w:proofErr w:type="spellStart"/>
      <w:r w:rsidR="0098534C">
        <w:t>egymásrahatása</w:t>
      </w:r>
      <w:proofErr w:type="spellEnd"/>
      <w:r w:rsidR="0028491B">
        <w:t xml:space="preserve"> te</w:t>
      </w:r>
      <w:r w:rsidR="0098534C">
        <w:t>kintetében.</w:t>
      </w:r>
      <w:r>
        <w:t xml:space="preserve"> </w:t>
      </w:r>
      <w:r w:rsidR="00E3503C">
        <w:t>Nemcsoda tehát, hogy a gazdasági jogi képzés is kiemelt figyelmet fordít a dologi jogi intézmények ismertetésére.</w:t>
      </w:r>
    </w:p>
    <w:p w:rsidR="0098534C" w:rsidRDefault="00060426" w:rsidP="00EF2354">
      <w:r>
        <w:t>Mielőtt megismerkednénk a dologi jogi szabályozás alapintézményeivel érdemes figyelmet fordítani a törvényi szabályozás szerkezetére, hisze</w:t>
      </w:r>
      <w:r w:rsidR="00586FCD">
        <w:t>n már ebből is sokat lehet tanulni</w:t>
      </w:r>
      <w:r w:rsidR="002C7C9F">
        <w:t xml:space="preserve">. </w:t>
      </w:r>
    </w:p>
    <w:p w:rsidR="0098534C" w:rsidRDefault="002C7C9F" w:rsidP="00EF2354">
      <w:r>
        <w:t>A szabályanyag há</w:t>
      </w:r>
      <w:r w:rsidR="00060426">
        <w:t>rom n</w:t>
      </w:r>
      <w:r>
        <w:t>agy részre osztható:</w:t>
      </w:r>
      <w:r w:rsidR="006A1F56">
        <w:t xml:space="preserve"> a birtokra, a tulajdonjogra és a korlátolt dolo</w:t>
      </w:r>
      <w:r w:rsidR="000669A3">
        <w:t>gi jogokra. E három közül a legjelentősebb jogintézmény</w:t>
      </w:r>
      <w:r w:rsidR="00586FCD">
        <w:t xml:space="preserve"> kétségtelenül a</w:t>
      </w:r>
      <w:r w:rsidR="006A1F56">
        <w:t xml:space="preserve"> tulajdonjog. </w:t>
      </w:r>
      <w:r w:rsidR="000669A3">
        <w:t xml:space="preserve">A tulajdonjog ugyanis </w:t>
      </w:r>
      <w:r w:rsidR="009438F3">
        <w:t xml:space="preserve">a </w:t>
      </w:r>
      <w:r w:rsidR="000669A3">
        <w:t xml:space="preserve">legerősebb jogosítvány, teljes és kizárólagos jogi hatalom, amelynek csak </w:t>
      </w:r>
      <w:r w:rsidR="000669A3" w:rsidRPr="000669A3">
        <w:t>jogszabály és mások jogai</w:t>
      </w:r>
      <w:r w:rsidR="000669A3">
        <w:t>nak védelme</w:t>
      </w:r>
      <w:r w:rsidR="000669A3" w:rsidRPr="000669A3">
        <w:t xml:space="preserve"> </w:t>
      </w:r>
      <w:r w:rsidR="000669A3">
        <w:t>szabhatnak korlátot. A tulajdonos tehát dolgával bármit megtehet, amivel másokat nem sért, és amit a jogszabályok</w:t>
      </w:r>
      <w:r w:rsidR="00B26D9E">
        <w:t>, hatósági intézk</w:t>
      </w:r>
      <w:r w:rsidR="00B3558A">
        <w:t>e</w:t>
      </w:r>
      <w:r w:rsidR="00B26D9E">
        <w:t>dések</w:t>
      </w:r>
      <w:r w:rsidR="000669A3">
        <w:t xml:space="preserve"> nem korlátoznak</w:t>
      </w:r>
      <w:r w:rsidR="00B26D9E">
        <w:t>.</w:t>
      </w:r>
      <w:r w:rsidR="00B3558A">
        <w:t xml:space="preserve"> A </w:t>
      </w:r>
      <w:r w:rsidR="009E0089">
        <w:t xml:space="preserve">magántulajdon </w:t>
      </w:r>
      <w:r w:rsidR="00B3558A">
        <w:t>akár közhatalom általi, akár más személy általi indokol</w:t>
      </w:r>
      <w:r w:rsidR="009E0089">
        <w:t xml:space="preserve">atlan korlátozását a törvény </w:t>
      </w:r>
      <w:r w:rsidR="00B3558A">
        <w:t>tiltja, és a tu</w:t>
      </w:r>
      <w:r w:rsidR="009E0089">
        <w:t xml:space="preserve">lajdon elleni jogtalan behatás vagy </w:t>
      </w:r>
      <w:r w:rsidR="00B3558A">
        <w:t>zavarás</w:t>
      </w:r>
      <w:r w:rsidR="00F93242">
        <w:t xml:space="preserve"> ellen a tulajdonvédelem különféle eszközeit</w:t>
      </w:r>
      <w:r w:rsidR="009E0089">
        <w:t xml:space="preserve"> intézményesíti. </w:t>
      </w:r>
      <w:r w:rsidR="00EF2354">
        <w:t xml:space="preserve">Mindemellett – természetesen – a tulajdonos saját akaratából </w:t>
      </w:r>
      <w:r w:rsidR="009438F3">
        <w:t xml:space="preserve">maga is </w:t>
      </w:r>
      <w:r w:rsidR="00EF2354">
        <w:t xml:space="preserve">jogosult korlátozni, megterhelni vagy átruházni saját tulajdonát. </w:t>
      </w:r>
    </w:p>
    <w:p w:rsidR="00EF2354" w:rsidRDefault="00EF2354" w:rsidP="00EF2354">
      <w:r>
        <w:t xml:space="preserve">A tulajdonjog teljességéhez képest </w:t>
      </w:r>
      <w:r w:rsidR="009438F3">
        <w:t xml:space="preserve">–  </w:t>
      </w:r>
      <w:r>
        <w:t>a dologi jogi szab</w:t>
      </w:r>
      <w:r w:rsidR="009438F3">
        <w:t>ályozás másik pillére – a BIRTOK</w:t>
      </w:r>
      <w:r>
        <w:t xml:space="preserve"> önmagában nem jogosít olyan teljeskörű és kizárólagos</w:t>
      </w:r>
      <w:r>
        <w:t xml:space="preserve"> uralom gyakorlására, mint az –  elő</w:t>
      </w:r>
      <w:r>
        <w:t>ző</w:t>
      </w:r>
      <w:r>
        <w:t>ekben bemutatásra került</w:t>
      </w:r>
      <w:r>
        <w:t xml:space="preserve"> – tulajdonjog,</w:t>
      </w:r>
      <w:r w:rsidR="009438F3">
        <w:t xml:space="preserve"> ez</w:t>
      </w:r>
      <w:r>
        <w:t xml:space="preserve"> </w:t>
      </w:r>
      <w:r w:rsidR="002C7C9F">
        <w:t>inkább egy j</w:t>
      </w:r>
      <w:r w:rsidR="009438F3">
        <w:t xml:space="preserve">og által elismert </w:t>
      </w:r>
      <w:proofErr w:type="gramStart"/>
      <w:r w:rsidR="009438F3">
        <w:t>pozíció</w:t>
      </w:r>
      <w:proofErr w:type="gramEnd"/>
      <w:r w:rsidR="009438F3">
        <w:t>.</w:t>
      </w:r>
      <w:r w:rsidR="004C2ECC">
        <w:t xml:space="preserve"> </w:t>
      </w:r>
      <w:r w:rsidR="009438F3">
        <w:t>A</w:t>
      </w:r>
      <w:r w:rsidR="004C2ECC">
        <w:t xml:space="preserve"> mindennapok gyakorlatában mégis a t</w:t>
      </w:r>
      <w:r w:rsidR="002C7C9F">
        <w:t>ulajdonjoghoz</w:t>
      </w:r>
      <w:r w:rsidR="004C2ECC">
        <w:t xml:space="preserve"> nagyon hasonlóan jelenik meg a külvilág</w:t>
      </w:r>
      <w:r w:rsidR="0028491B">
        <w:t xml:space="preserve"> –  és sokszor még a birtokos</w:t>
      </w:r>
      <w:r w:rsidR="004C2ECC">
        <w:t xml:space="preserve"> számára</w:t>
      </w:r>
      <w:r w:rsidR="0028491B">
        <w:t xml:space="preserve"> is –</w:t>
      </w:r>
      <w:r>
        <w:t>,</w:t>
      </w:r>
      <w:r>
        <w:t xml:space="preserve"> </w:t>
      </w:r>
      <w:r w:rsidR="004C2ECC">
        <w:t>ami abból adódik, hogy</w:t>
      </w:r>
      <w:r>
        <w:t xml:space="preserve"> a</w:t>
      </w:r>
      <w:r w:rsidR="002C7C9F">
        <w:t xml:space="preserve"> törvény a </w:t>
      </w:r>
      <w:r>
        <w:t>birtok</w:t>
      </w:r>
      <w:r w:rsidR="002C7C9F">
        <w:t xml:space="preserve">osi </w:t>
      </w:r>
      <w:proofErr w:type="gramStart"/>
      <w:r w:rsidR="002C7C9F">
        <w:t>pozíciót</w:t>
      </w:r>
      <w:proofErr w:type="gramEnd"/>
      <w:r w:rsidR="002C7C9F">
        <w:t xml:space="preserve"> is </w:t>
      </w:r>
      <w:r w:rsidR="004C2ECC">
        <w:t xml:space="preserve">igen széleskörű jogi </w:t>
      </w:r>
      <w:r w:rsidR="002C7C9F">
        <w:t>védelemben részesíti</w:t>
      </w:r>
      <w:r>
        <w:t>.</w:t>
      </w:r>
      <w:r w:rsidR="009438F3">
        <w:t xml:space="preserve"> A </w:t>
      </w:r>
      <w:r w:rsidR="009438F3">
        <w:lastRenderedPageBreak/>
        <w:t>leg</w:t>
      </w:r>
      <w:proofErr w:type="gramStart"/>
      <w:r w:rsidR="009438F3">
        <w:t>tipikusabb</w:t>
      </w:r>
      <w:proofErr w:type="gramEnd"/>
      <w:r w:rsidR="009438F3">
        <w:t>, iskolapéldaszerű birtokosi pozíció valamely dolog tulajdonos általi saját birtoklás</w:t>
      </w:r>
      <w:r w:rsidR="00E3503C">
        <w:t>a. S</w:t>
      </w:r>
      <w:r w:rsidR="009438F3">
        <w:t>zámtalan olyan eset lehetséges</w:t>
      </w:r>
      <w:r w:rsidR="00E3503C">
        <w:t xml:space="preserve"> azonban</w:t>
      </w:r>
      <w:r w:rsidR="009438F3">
        <w:t xml:space="preserve">, amikor saját vagy más tulajdonjogától függetlenül is keletkezhet különféle birtokosi, </w:t>
      </w:r>
      <w:proofErr w:type="spellStart"/>
      <w:r w:rsidR="009438F3">
        <w:t>albirtokosi</w:t>
      </w:r>
      <w:proofErr w:type="spellEnd"/>
      <w:r w:rsidR="009438F3">
        <w:t xml:space="preserve"> </w:t>
      </w:r>
      <w:proofErr w:type="gramStart"/>
      <w:r w:rsidR="009438F3">
        <w:t>pozíció</w:t>
      </w:r>
      <w:proofErr w:type="gramEnd"/>
      <w:r w:rsidR="009438F3">
        <w:t>, esetleg egész birtokosi láncolat</w:t>
      </w:r>
      <w:r w:rsidR="0028491B">
        <w:t xml:space="preserve"> is egyidejűleg</w:t>
      </w:r>
      <w:r w:rsidR="009438F3">
        <w:t>.</w:t>
      </w:r>
      <w:r w:rsidR="0028491B">
        <w:t xml:space="preserve"> </w:t>
      </w:r>
    </w:p>
    <w:p w:rsidR="00143F2D" w:rsidRDefault="0028491B" w:rsidP="00EF2354">
      <w:r>
        <w:t>A tulajdonjog és birtok összevetésénél fontos szempont, hogy a tulajdonjog jogkérdés, míg a birtok több esetben csak ténykérdés. A t</w:t>
      </w:r>
      <w:r w:rsidR="00E3503C">
        <w:t>ulajdonnal járó jogok sajátosságai</w:t>
      </w:r>
      <w:r>
        <w:t xml:space="preserve"> ugyanis csak akkor biztosított</w:t>
      </w:r>
      <w:r w:rsidR="00E3503C">
        <w:t>ak</w:t>
      </w:r>
      <w:r>
        <w:t>, ha a tulajdonos a tulajdonjog tárgyát a törv</w:t>
      </w:r>
      <w:r w:rsidR="00143F2D">
        <w:t>ény által elismert tulajdonszerzési tényállással</w:t>
      </w:r>
      <w:r>
        <w:t xml:space="preserve"> </w:t>
      </w:r>
      <w:r w:rsidR="00143F2D">
        <w:t xml:space="preserve">szerezte. A törvény által elismert szerzésmódokat a tananyag sorra veszi, és a tulajdonszerzési tényállások közül az átruházással, elbirtoklással, találással, örökléssel foglalkozik majd részletesebben. </w:t>
      </w:r>
      <w:r>
        <w:t xml:space="preserve"> </w:t>
      </w:r>
      <w:r w:rsidR="00143F2D">
        <w:t xml:space="preserve"> Amennyiben a </w:t>
      </w:r>
      <w:r w:rsidR="00E3503C">
        <w:t xml:space="preserve">tulajdonszerzésben </w:t>
      </w:r>
      <w:r w:rsidR="00143F2D">
        <w:t xml:space="preserve"> hiba van, úgy </w:t>
      </w:r>
      <w:r w:rsidR="00E3503C">
        <w:t>tényszerűen l</w:t>
      </w:r>
      <w:r w:rsidR="00143F2D">
        <w:t>étre</w:t>
      </w:r>
      <w:r w:rsidR="00E3503C">
        <w:t xml:space="preserve"> jöhet</w:t>
      </w:r>
      <w:r w:rsidR="00143F2D">
        <w:t xml:space="preserve"> a dolog felett</w:t>
      </w:r>
      <w:r w:rsidR="00E3503C">
        <w:t>i</w:t>
      </w:r>
      <w:r w:rsidR="00143F2D">
        <w:t xml:space="preserve"> uralom</w:t>
      </w:r>
      <w:r w:rsidR="00E3503C">
        <w:t>, jogi megítélés szempontjából azonban a tulajdonhoz fűződő jogha</w:t>
      </w:r>
      <w:r w:rsidR="007A6D95">
        <w:t>tásokat nem fogja kiváltani</w:t>
      </w:r>
      <w:r w:rsidR="00E3503C">
        <w:t>,</w:t>
      </w:r>
      <w:r w:rsidR="007A6D95">
        <w:t xml:space="preserve"> a jog legfeljebb a birtokosra vonatkozó szabályok alapján tekint majd a helyzetre.</w:t>
      </w:r>
      <w:bookmarkStart w:id="0" w:name="_GoBack"/>
      <w:bookmarkEnd w:id="0"/>
      <w:r w:rsidR="007A6D95">
        <w:t xml:space="preserve"> </w:t>
      </w:r>
      <w:r w:rsidR="00E3503C">
        <w:t>.</w:t>
      </w:r>
    </w:p>
    <w:p w:rsidR="00BC6BAF" w:rsidRDefault="00BC6BAF" w:rsidP="00BC6BAF">
      <w:pPr>
        <w:spacing w:after="0" w:line="240" w:lineRule="auto"/>
      </w:pPr>
      <w:r>
        <w:t xml:space="preserve">Végül a dologi jogon belüli harmadik szabályozási pillér az ún. korlátolt dologi jogok köre. </w:t>
      </w:r>
      <w:r>
        <w:t>A korlátolt dologi jogok közé tartozik a zálogjog, a használati jogok, a szolgalom és a közérdekű</w:t>
      </w:r>
    </w:p>
    <w:p w:rsidR="00BC6BAF" w:rsidRDefault="00BC6BAF" w:rsidP="00BC6BAF">
      <w:pPr>
        <w:spacing w:after="0" w:line="240" w:lineRule="auto"/>
      </w:pPr>
      <w:proofErr w:type="gramStart"/>
      <w:r>
        <w:t>használat</w:t>
      </w:r>
      <w:proofErr w:type="gramEnd"/>
      <w:r>
        <w:t>. Ezen jogokban közös, hogy a legtöbb esetben idegen dolgon állnak fenn, a tulajdonjog</w:t>
      </w:r>
    </w:p>
    <w:p w:rsidR="00BC6BAF" w:rsidRDefault="00BC6BAF" w:rsidP="00BC6BAF">
      <w:pPr>
        <w:spacing w:after="0" w:line="240" w:lineRule="auto"/>
      </w:pPr>
      <w:proofErr w:type="gramStart"/>
      <w:r>
        <w:t>önállósult</w:t>
      </w:r>
      <w:proofErr w:type="gramEnd"/>
      <w:r>
        <w:t xml:space="preserve"> részjogosítványait jelenítik meg, valamint időben behatárolt jogok. </w:t>
      </w:r>
    </w:p>
    <w:p w:rsidR="00BC6BAF" w:rsidRDefault="00BC6BAF" w:rsidP="00BC6BAF">
      <w:pPr>
        <w:spacing w:after="0" w:line="240" w:lineRule="auto"/>
      </w:pPr>
      <w:r>
        <w:t>Szemben a</w:t>
      </w:r>
      <w:r>
        <w:t xml:space="preserve"> </w:t>
      </w:r>
      <w:r>
        <w:t xml:space="preserve">tulajdonjoggal, amely teljes hatalmat biztosít a dolog felett, a korlátolt dologi jog csak </w:t>
      </w:r>
      <w:r>
        <w:t>b</w:t>
      </w:r>
      <w:r>
        <w:t>izonyos</w:t>
      </w:r>
      <w:r>
        <w:t xml:space="preserve"> </w:t>
      </w:r>
      <w:r>
        <w:t xml:space="preserve">vonatkozásokban ad a jogosultnak másokat kizáró, </w:t>
      </w:r>
      <w:proofErr w:type="gramStart"/>
      <w:r>
        <w:t>abszolút</w:t>
      </w:r>
      <w:proofErr w:type="gramEnd"/>
      <w:r>
        <w:t xml:space="preserve"> hatalmat. A korlátolt dologi </w:t>
      </w:r>
      <w:r>
        <w:t>j</w:t>
      </w:r>
      <w:r>
        <w:t>ogokat</w:t>
      </w:r>
      <w:r>
        <w:t xml:space="preserve"> </w:t>
      </w:r>
      <w:r>
        <w:t>másként teherjogoknak is nevezik, a tulajdonra kívülről ránehezedő, az abban foglalt egyes</w:t>
      </w:r>
    </w:p>
    <w:p w:rsidR="002B1910" w:rsidRDefault="00BC6BAF" w:rsidP="00BC6BAF">
      <w:pPr>
        <w:spacing w:after="0" w:line="240" w:lineRule="auto"/>
      </w:pPr>
      <w:proofErr w:type="gramStart"/>
      <w:r>
        <w:t>jogosítványok</w:t>
      </w:r>
      <w:proofErr w:type="gramEnd"/>
      <w:r>
        <w:t xml:space="preserve"> gyakorlását akadályozó jogi jelleg miatt.</w:t>
      </w:r>
      <w:r w:rsidR="002B1910">
        <w:t xml:space="preserve"> </w:t>
      </w:r>
      <w:proofErr w:type="gramStart"/>
      <w:r w:rsidR="002B1910">
        <w:t>Amikor tehát azt hangsúlyoztuk, hogy a</w:t>
      </w:r>
      <w:r w:rsidR="002B1910">
        <w:t xml:space="preserve"> dologi jogi szabályozás jogintézményei elsősorban azt a célt szolgálják, hogy a dolgokkal össze</w:t>
      </w:r>
      <w:r w:rsidR="002B1910">
        <w:t xml:space="preserve">függő jogviszonyok jogosultjai </w:t>
      </w:r>
      <w:r w:rsidR="002B1910">
        <w:t>jogi és/vagy ténybeli helyzetükben – védve legyenek más személyeknek a dolgaikra irányuló magatartásaitól, igényeitől</w:t>
      </w:r>
      <w:r w:rsidR="002B1910">
        <w:t>, akkor arra is gondolunk, hogy a törvénynek egy-egy korlátolt dologi jog jogosultjának magával a tulajdonossal szemben is védelmet kell biztosítania a használati jog, a haszonélvezeti jog vagy – adott esetben – a jelzálogjog biztosította jogok védelme érdekében.</w:t>
      </w:r>
      <w:proofErr w:type="gramEnd"/>
      <w:r w:rsidR="002B1910">
        <w:t xml:space="preserve"> </w:t>
      </w:r>
    </w:p>
    <w:p w:rsidR="00D3647B" w:rsidRDefault="00F93242" w:rsidP="006A1F56">
      <w:r>
        <w:t xml:space="preserve"> </w:t>
      </w:r>
    </w:p>
    <w:p w:rsidR="00060426" w:rsidRDefault="00060426" w:rsidP="00D3647B"/>
    <w:p w:rsidR="00D3647B" w:rsidRDefault="00D3647B" w:rsidP="00D3647B"/>
    <w:sectPr w:rsidR="00D364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300"/>
    <w:rsid w:val="00060426"/>
    <w:rsid w:val="000669A3"/>
    <w:rsid w:val="00095586"/>
    <w:rsid w:val="00143F2D"/>
    <w:rsid w:val="00174300"/>
    <w:rsid w:val="0028491B"/>
    <w:rsid w:val="002B1910"/>
    <w:rsid w:val="002C7C9F"/>
    <w:rsid w:val="00411069"/>
    <w:rsid w:val="0043464E"/>
    <w:rsid w:val="004C2ECC"/>
    <w:rsid w:val="00586FCD"/>
    <w:rsid w:val="006A1F56"/>
    <w:rsid w:val="007A6D95"/>
    <w:rsid w:val="008A6BAF"/>
    <w:rsid w:val="009438F3"/>
    <w:rsid w:val="0098534C"/>
    <w:rsid w:val="009E0089"/>
    <w:rsid w:val="00A54CC0"/>
    <w:rsid w:val="00B26D9E"/>
    <w:rsid w:val="00B3558A"/>
    <w:rsid w:val="00B47ACA"/>
    <w:rsid w:val="00B571B2"/>
    <w:rsid w:val="00BC6BAF"/>
    <w:rsid w:val="00BE6576"/>
    <w:rsid w:val="00D3647B"/>
    <w:rsid w:val="00D66340"/>
    <w:rsid w:val="00E3503C"/>
    <w:rsid w:val="00EF2354"/>
    <w:rsid w:val="00F93242"/>
    <w:rsid w:val="00FF0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96DF4"/>
  <w15:chartTrackingRefBased/>
  <w15:docId w15:val="{2F2F6D79-15A2-47FF-8B67-C6F74CADB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2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2</Pages>
  <Words>792</Words>
  <Characters>5471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Oktató</dc:creator>
  <cp:keywords/>
  <dc:description/>
  <cp:lastModifiedBy>Oktató</cp:lastModifiedBy>
  <cp:revision>3</cp:revision>
  <dcterms:created xsi:type="dcterms:W3CDTF">2020-08-07T03:20:00Z</dcterms:created>
  <dcterms:modified xsi:type="dcterms:W3CDTF">2020-08-07T14:40:00Z</dcterms:modified>
</cp:coreProperties>
</file>